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right"/>
        <w:rPr>
          <w:rFonts w:ascii="Times New Roman" w:hAnsi="Times New Roman" w:cs="Times New Roman"/>
          <w:bCs w:val="false"/>
          <w:i w:val="false"/>
          <w:i w:val="false"/>
          <w:color w:val="000000" w:themeColor="text1"/>
          <w:sz w:val="24"/>
          <w:szCs w:val="24"/>
          <w:highlight w:val="none"/>
        </w:rPr>
      </w:pPr>
      <w:r>
        <w:rPr>
          <w:rFonts w:cs="Times New Roman" w:ascii="Times New Roman" w:hAnsi="Times New Roman"/>
          <w:i w:val="false"/>
          <w:iCs w:val="false"/>
          <w:color w:val="000000" w:themeColor="text1"/>
          <w:sz w:val="24"/>
          <w:szCs w:val="24"/>
        </w:rPr>
        <w:t xml:space="preserve">Приложение №5 к договору подряда № </w:t>
      </w:r>
      <w:r>
        <w:rPr>
          <w:rFonts w:cs="Times New Roman" w:ascii="Times New Roman" w:hAnsi="Times New Roman"/>
          <w:i w:val="false"/>
          <w:iCs w:val="false"/>
          <w:color w:val="000000" w:themeColor="text1"/>
          <w:sz w:val="24"/>
          <w:szCs w:val="24"/>
        </w:rPr>
        <w:t>____</w:t>
      </w:r>
      <w:r>
        <w:rPr>
          <w:rFonts w:cs="Times New Roman" w:ascii="Times New Roman" w:hAnsi="Times New Roman"/>
          <w:i w:val="false"/>
          <w:iCs w:val="false"/>
          <w:color w:val="000000" w:themeColor="text1"/>
          <w:sz w:val="24"/>
          <w:szCs w:val="24"/>
        </w:rPr>
        <w:t>/</w:t>
      </w:r>
      <w:r>
        <w:rPr>
          <w:rFonts w:cs="Times New Roman" w:ascii="Times New Roman" w:hAnsi="Times New Roman"/>
          <w:i w:val="false"/>
          <w:iCs w:val="false"/>
          <w:color w:val="000000" w:themeColor="text1"/>
          <w:sz w:val="24"/>
          <w:szCs w:val="24"/>
        </w:rPr>
        <w:t>_____</w:t>
      </w:r>
      <w:r>
        <w:rPr>
          <w:rFonts w:cs="Times New Roman" w:ascii="Times New Roman" w:hAnsi="Times New Roman"/>
          <w:i w:val="false"/>
          <w:iCs w:val="false"/>
          <w:color w:val="000000" w:themeColor="text1"/>
          <w:sz w:val="24"/>
          <w:szCs w:val="24"/>
        </w:rPr>
        <w:t xml:space="preserve"> от </w:t>
      </w:r>
      <w:r>
        <w:rPr>
          <w:rFonts w:cs="Times New Roman" w:ascii="Times New Roman" w:hAnsi="Times New Roman"/>
          <w:i w:val="false"/>
          <w:iCs w:val="false"/>
          <w:color w:val="000000" w:themeColor="text1"/>
          <w:sz w:val="24"/>
          <w:szCs w:val="24"/>
        </w:rPr>
        <w:t>___________________</w:t>
      </w:r>
    </w:p>
    <w:p>
      <w:pPr>
        <w:pStyle w:val="Normal"/>
        <w:tabs>
          <w:tab w:val="clear" w:pos="708"/>
          <w:tab w:val="left" w:pos="3194" w:leader="none"/>
        </w:tabs>
        <w:spacing w:before="0" w:after="0"/>
        <w:jc w:val="center"/>
        <w:rPr>
          <w:rFonts w:ascii="Times New Roman" w:hAnsi="Times New Roman" w:eastAsia="Times New Roman"/>
          <w:b/>
          <w:sz w:val="8"/>
          <w:szCs w:val="24"/>
        </w:rPr>
      </w:pPr>
      <w:r>
        <w:rPr>
          <w:rFonts w:eastAsia="Times New Roman" w:ascii="Times New Roman" w:hAnsi="Times New Roman"/>
          <w:b/>
          <w:sz w:val="8"/>
          <w:szCs w:val="24"/>
        </w:rPr>
      </w:r>
    </w:p>
    <w:p>
      <w:pPr>
        <w:pStyle w:val="Normal"/>
        <w:spacing w:lineRule="auto" w:line="240" w:before="0" w:afterAutospacing="0" w:after="0"/>
        <w:ind w:hanging="0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Размер ответственности Подрядчика за нарушения</w:t>
      </w:r>
    </w:p>
    <w:p>
      <w:pPr>
        <w:pStyle w:val="Normal"/>
        <w:spacing w:lineRule="auto" w:line="240" w:before="0" w:afterAutospacing="0" w:after="0"/>
        <w:ind w:hanging="0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>
      <w:pPr>
        <w:pStyle w:val="Normal"/>
        <w:spacing w:lineRule="auto" w:line="240" w:before="0" w:afterAutospacing="0" w:after="0"/>
        <w:ind w:hanging="0"/>
        <w:jc w:val="center"/>
        <w:rPr/>
      </w:pPr>
      <w:r>
        <w:rPr>
          <w:rFonts w:cs="Times New Roman" w:ascii="Times New Roman" w:hAnsi="Times New Roman"/>
          <w:b/>
          <w:bCs/>
          <w:sz w:val="24"/>
          <w:szCs w:val="24"/>
        </w:rPr>
        <w:t>пожарной и промышленной безопасности</w:t>
      </w:r>
    </w:p>
    <w:p>
      <w:pPr>
        <w:pStyle w:val="Normal"/>
        <w:spacing w:lineRule="auto" w:line="240" w:before="0" w:afterAutospacing="0" w:after="0"/>
        <w:rPr>
          <w:sz w:val="14"/>
        </w:rPr>
      </w:pPr>
      <w:r>
        <w:rPr>
          <w:sz w:val="14"/>
        </w:rPr>
      </w:r>
    </w:p>
    <w:tbl>
      <w:tblPr>
        <w:tblW w:w="963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914"/>
        <w:gridCol w:w="5715"/>
      </w:tblGrid>
      <w:tr>
        <w:trPr/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Штрафные санкции</w:t>
            </w:r>
          </w:p>
        </w:tc>
      </w:tr>
      <w:tr>
        <w:trPr/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1. Нарушение правил пожарной безопасности и охраны труда (ППБ и ОТ):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1.1. Нарушение ППБ </w:t>
            </w:r>
            <w:r>
              <w:rPr>
                <w:rFonts w:cs="Times New Roman" w:ascii="Times New Roman" w:hAnsi="Times New Roman"/>
                <w:sz w:val="24"/>
              </w:rPr>
              <w:t>и ОТ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без возникновения пожара</w:t>
            </w:r>
          </w:p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1.2. Нарушение ППБ </w:t>
            </w:r>
            <w:r>
              <w:rPr>
                <w:rFonts w:cs="Times New Roman" w:ascii="Times New Roman" w:hAnsi="Times New Roman"/>
                <w:sz w:val="24"/>
              </w:rPr>
              <w:t>и ОТ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ставшее причиной возникновения пожара, не причинившего ущерб имуществу Заказчика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50 000 (пятьдесят тысяч) рублей за каждый случай нарушения.</w:t>
            </w:r>
          </w:p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1.3. Нарушение ППБ </w:t>
            </w:r>
            <w:r>
              <w:rPr>
                <w:rFonts w:cs="Times New Roman" w:ascii="Times New Roman" w:hAnsi="Times New Roman"/>
                <w:sz w:val="24"/>
              </w:rPr>
              <w:t>и ОТ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, ставшее причиной возникновения пожара, причинившего ущерб имуществу Заказчика.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250 000 (двести пятьдесят тысяч) рублей за каждый случай нарушения.</w:t>
            </w:r>
          </w:p>
        </w:tc>
      </w:tr>
      <w:tr>
        <w:trPr>
          <w:trHeight w:val="915" w:hRule="atLeast"/>
        </w:trPr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1.4. Нарушение ППБ и ОТ, приведшее к несчастному случаю с причинением тяжкого легкого здоровью.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500 000 (пятьсот тысяч) рублей за каждый случай нарушения</w:t>
            </w:r>
          </w:p>
        </w:tc>
      </w:tr>
      <w:tr>
        <w:trPr>
          <w:trHeight w:val="915" w:hRule="atLeast"/>
        </w:trPr>
        <w:tc>
          <w:tcPr>
            <w:tcW w:w="39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1.5. </w:t>
            </w:r>
            <w:r>
              <w:rPr>
                <w:rFonts w:cs="Times New Roman" w:ascii="Times New Roman" w:hAnsi="Times New Roman"/>
                <w:sz w:val="24"/>
              </w:rPr>
              <w:t>Нарушение ППБ и ОТ, приведшее к несчастному случаю с причинением тяжкого вреда здоровью.</w:t>
            </w:r>
          </w:p>
        </w:tc>
        <w:tc>
          <w:tcPr>
            <w:tcW w:w="57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1 000 000 (один миллион) рублей за каждый случай нарушения</w:t>
            </w:r>
          </w:p>
        </w:tc>
      </w:tr>
      <w:tr>
        <w:trPr>
          <w:trHeight w:val="33" w:hRule="atLeast"/>
        </w:trPr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1.6. </w:t>
            </w:r>
            <w:r>
              <w:rPr>
                <w:rFonts w:cs="Times New Roman" w:ascii="Times New Roman" w:hAnsi="Times New Roman"/>
                <w:sz w:val="24"/>
              </w:rPr>
              <w:t>Нарушение ППБ и ОТ, приведшее к несчастному случаю со смертельным исходом.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2 000 000 (два миллиона) рублей за каждый случай нарушения</w:t>
            </w:r>
          </w:p>
        </w:tc>
      </w:tr>
      <w:tr>
        <w:trPr/>
        <w:tc>
          <w:tcPr>
            <w:tcW w:w="3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</w:rPr>
              <w:t>2.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 xml:space="preserve">Нарушение пропускного и внутриобъектового режима, </w:t>
            </w:r>
            <w:r>
              <w:rPr>
                <w:rFonts w:cs="Times New Roman" w:ascii="Times New Roman" w:hAnsi="Times New Roman"/>
                <w:color w:val="000000"/>
                <w:sz w:val="24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50 000 (пятьдесят тысяч) рублей за каждый случай нарушения;</w:t>
            </w:r>
          </w:p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500 (пятьсот) рублей в случае утраты или приведения в негодность электронного пропуска, выданного Заказчиком.</w:t>
            </w:r>
          </w:p>
          <w:p>
            <w:pPr>
              <w:pStyle w:val="Normal"/>
              <w:widowControl w:val="false"/>
              <w:spacing w:lineRule="auto" w:line="240" w:before="0" w:afterAutospacing="0" w:after="0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>
      <w:pPr>
        <w:pStyle w:val="Normal"/>
        <w:tabs>
          <w:tab w:val="clear" w:pos="708"/>
          <w:tab w:val="left" w:pos="6048" w:leader="none"/>
        </w:tabs>
        <w:spacing w:lineRule="auto" w:line="360" w:before="0" w:after="0"/>
        <w:ind w:hanging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eastAsia="Times New Roman" w:ascii="Times New Roman" w:hAnsi="Times New Roman"/>
          <w:sz w:val="24"/>
          <w:szCs w:val="24"/>
        </w:rPr>
      </w:r>
    </w:p>
    <w:tbl>
      <w:tblPr>
        <w:tblW w:w="974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068"/>
        <w:gridCol w:w="4677"/>
      </w:tblGrid>
      <w:tr>
        <w:trPr/>
        <w:tc>
          <w:tcPr>
            <w:tcW w:w="506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ru-RU"/>
              </w:rPr>
              <w:t>Подрядчик:</w:t>
            </w:r>
          </w:p>
        </w:tc>
      </w:tr>
      <w:tr>
        <w:trPr/>
        <w:tc>
          <w:tcPr>
            <w:tcW w:w="506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/>
            </w:r>
          </w:p>
        </w:tc>
        <w:tc>
          <w:tcPr>
            <w:tcW w:w="467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6048" w:leader="none"/>
        </w:tabs>
        <w:spacing w:lineRule="auto" w:line="360" w:before="0" w:after="0"/>
        <w:ind w:hanging="0"/>
        <w:jc w:val="both"/>
        <w:rPr>
          <w:rFonts w:ascii="Times New Roman" w:hAnsi="Times New Roman" w:eastAsia="Times New Roman"/>
          <w:bCs/>
          <w:sz w:val="26"/>
          <w:szCs w:val="26"/>
          <w:lang w:eastAsia="ru-RU"/>
        </w:rPr>
      </w:pPr>
      <w:r>
        <w:rPr/>
      </w:r>
    </w:p>
    <w:sectPr>
      <w:type w:val="nextPage"/>
      <w:pgSz w:w="11906" w:h="16838"/>
      <w:pgMar w:left="1418" w:right="567" w:gutter="0" w:header="0" w:top="686" w:footer="0" w:bottom="102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3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4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2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5">
    <w:name w:val="Содержимое таблицы"/>
    <w:basedOn w:val="Normal"/>
    <w:qFormat/>
    <w:pPr>
      <w:widowControl w:val="false"/>
      <w:suppressLineNumbers/>
    </w:pPr>
    <w:rPr/>
  </w:style>
  <w:style w:type="paragraph" w:styleId="Style6">
    <w:name w:val="Заголовок таблицы"/>
    <w:basedOn w:val="Style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AlterOffice/2025.3.1.0$Linux_X86_64 LibreOffice_project/431cd1b79110582f53535c95ed0a2449aadc8bf9</Application>
  <AppVersion>15.0000</AppVersion>
  <Pages>1</Pages>
  <Words>273</Words>
  <Characters>1760</Characters>
  <CharactersWithSpaces>2006</CharactersWithSpaces>
  <Paragraphs>27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2018-09-22T01:47:00Z</dcterms:created>
  <dc:creator>Снигирева</dc:creator>
  <dc:description/>
  <dc:language>ru-RU</dc:language>
  <cp:lastModifiedBy>gazetdinova_nr@DGK.RU</cp:lastModifiedBy>
  <dcterms:modified xsi:type="dcterms:W3CDTF">2026-06-17T12:00:07Z</dcterms:modified>
  <cp:revision>39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